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18" w:rsidRPr="00655318" w:rsidRDefault="00655318" w:rsidP="00655318">
      <w:r>
        <w:t>UECA 2018 UTS May 12</w:t>
      </w:r>
      <w:r w:rsidR="007B1F64">
        <w:t xml:space="preserve"> </w:t>
      </w:r>
    </w:p>
    <w:p w:rsidR="006D7BB9" w:rsidRPr="00655318" w:rsidRDefault="006D7BB9" w:rsidP="00655318">
      <w:pPr>
        <w:spacing w:after="0"/>
      </w:pPr>
      <w:r w:rsidRPr="006D7BB9">
        <w:rPr>
          <w:sz w:val="48"/>
          <w:szCs w:val="48"/>
        </w:rPr>
        <w:t>The Nitty Gritty</w:t>
      </w:r>
    </w:p>
    <w:p w:rsidR="00BD3C02" w:rsidRPr="006D7BB9" w:rsidRDefault="006D7BB9" w:rsidP="00655318">
      <w:pPr>
        <w:spacing w:after="0"/>
        <w:rPr>
          <w:sz w:val="32"/>
          <w:szCs w:val="32"/>
        </w:rPr>
      </w:pPr>
      <w:r w:rsidRPr="006D7BB9">
        <w:rPr>
          <w:sz w:val="32"/>
          <w:szCs w:val="32"/>
        </w:rPr>
        <w:t>25+ Pragmatic Tips for Independent Learning and University Success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4512E" w:rsidRPr="0084512E" w:rsidTr="00655318">
        <w:trPr>
          <w:trHeight w:val="372"/>
        </w:trPr>
        <w:tc>
          <w:tcPr>
            <w:tcW w:w="2263" w:type="dxa"/>
          </w:tcPr>
          <w:p w:rsidR="0084512E" w:rsidRPr="0084512E" w:rsidRDefault="006D7BB9" w:rsidP="0084512E">
            <w:pPr>
              <w:rPr>
                <w:b/>
                <w:bCs/>
              </w:rPr>
            </w:pPr>
            <w:r w:rsidRPr="0084512E">
              <w:rPr>
                <w:b/>
                <w:bCs/>
              </w:rPr>
              <w:t>What</w:t>
            </w:r>
          </w:p>
        </w:tc>
        <w:tc>
          <w:tcPr>
            <w:tcW w:w="6753" w:type="dxa"/>
          </w:tcPr>
          <w:p w:rsidR="0084512E" w:rsidRPr="0084512E" w:rsidRDefault="006D7BB9" w:rsidP="0084512E">
            <w:pPr>
              <w:rPr>
                <w:b/>
                <w:bCs/>
              </w:rPr>
            </w:pPr>
            <w:r w:rsidRPr="0084512E">
              <w:rPr>
                <w:b/>
                <w:bCs/>
              </w:rPr>
              <w:t>How &amp; Why</w:t>
            </w:r>
          </w:p>
        </w:tc>
      </w:tr>
      <w:tr w:rsidR="0084512E" w:rsidRPr="0084512E" w:rsidTr="00655318">
        <w:trPr>
          <w:trHeight w:val="372"/>
        </w:trPr>
        <w:tc>
          <w:tcPr>
            <w:tcW w:w="2263" w:type="dxa"/>
            <w:hideMark/>
          </w:tcPr>
          <w:p w:rsidR="0084512E" w:rsidRPr="0084512E" w:rsidRDefault="006D7BB9" w:rsidP="0084512E">
            <w:r w:rsidRPr="0084512E">
              <w:rPr>
                <w:b/>
                <w:bCs/>
              </w:rPr>
              <w:t>The Library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/>
        </w:tc>
      </w:tr>
      <w:tr w:rsidR="0084512E" w:rsidRPr="0084512E" w:rsidTr="00655318">
        <w:trPr>
          <w:trHeight w:val="441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>The Magic Number is 428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https://www.oclc.org/en/dewey/features/countries.html</w:t>
            </w:r>
          </w:p>
        </w:tc>
      </w:tr>
      <w:tr w:rsidR="0084512E" w:rsidRPr="0084512E" w:rsidTr="00655318">
        <w:trPr>
          <w:trHeight w:val="830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>F</w:t>
            </w:r>
            <w:r>
              <w:t xml:space="preserve">ile </w:t>
            </w:r>
            <w:r w:rsidRPr="0084512E">
              <w:t>N</w:t>
            </w:r>
            <w:r>
              <w:t xml:space="preserve">aming </w:t>
            </w:r>
            <w:r w:rsidRPr="0084512E">
              <w:t>C</w:t>
            </w:r>
            <w:r>
              <w:t>onventions (FNC)</w:t>
            </w:r>
            <w:r w:rsidRPr="0084512E">
              <w:t xml:space="preserve"> 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https://www.ed.ac.uk/records-management/records-management/staff-guidance/electronic-records/naming-conventions</w:t>
            </w:r>
          </w:p>
        </w:tc>
      </w:tr>
      <w:tr w:rsidR="0084512E" w:rsidRPr="0084512E" w:rsidTr="00655318">
        <w:trPr>
          <w:trHeight w:val="678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>Using a textbook/ Old editions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Contents, Index, Summaries, Case studies, Glossary, Appendices, If you are in the area of the call no.!</w:t>
            </w:r>
          </w:p>
        </w:tc>
      </w:tr>
      <w:tr w:rsidR="0084512E" w:rsidRPr="0084512E" w:rsidTr="00655318">
        <w:trPr>
          <w:trHeight w:val="703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>Internet vs Databases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Google to Google Scholar to Databases (Good, Better, Best) Elsevier/Science Direct, JSTOR, Cengage, ProQuest</w:t>
            </w:r>
          </w:p>
        </w:tc>
      </w:tr>
      <w:tr w:rsidR="0084512E" w:rsidRPr="0084512E" w:rsidTr="00655318">
        <w:trPr>
          <w:trHeight w:val="698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>Academic Articles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Referencing (in-text &amp; end of text), Format, CITE functions (text, EndNote etc.)</w:t>
            </w:r>
          </w:p>
        </w:tc>
      </w:tr>
      <w:tr w:rsidR="0084512E" w:rsidTr="00655318">
        <w:tc>
          <w:tcPr>
            <w:tcW w:w="2263" w:type="dxa"/>
          </w:tcPr>
          <w:p w:rsidR="0084512E" w:rsidRPr="0084512E" w:rsidRDefault="006D7BB9">
            <w:pPr>
              <w:rPr>
                <w:b/>
              </w:rPr>
            </w:pPr>
            <w:r>
              <w:rPr>
                <w:b/>
              </w:rPr>
              <w:t>The University</w:t>
            </w:r>
          </w:p>
        </w:tc>
        <w:tc>
          <w:tcPr>
            <w:tcW w:w="6753" w:type="dxa"/>
          </w:tcPr>
          <w:p w:rsidR="0084512E" w:rsidRDefault="0084512E"/>
        </w:tc>
      </w:tr>
      <w:tr w:rsidR="0084512E" w:rsidRPr="0084512E" w:rsidTr="00655318">
        <w:trPr>
          <w:trHeight w:val="649"/>
        </w:trPr>
        <w:tc>
          <w:tcPr>
            <w:tcW w:w="2263" w:type="dxa"/>
            <w:hideMark/>
          </w:tcPr>
          <w:p w:rsidR="0084512E" w:rsidRPr="006D7BB9" w:rsidRDefault="0084512E" w:rsidP="0084512E">
            <w:r w:rsidRPr="006D7BB9">
              <w:rPr>
                <w:bCs/>
              </w:rPr>
              <w:t>The Genius of Mr Miyagi</w:t>
            </w:r>
          </w:p>
        </w:tc>
        <w:tc>
          <w:tcPr>
            <w:tcW w:w="6753" w:type="dxa"/>
            <w:hideMark/>
          </w:tcPr>
          <w:p w:rsidR="0084512E" w:rsidRPr="006D7BB9" w:rsidRDefault="0084512E" w:rsidP="0084512E">
            <w:r w:rsidRPr="006D7BB9">
              <w:rPr>
                <w:bCs/>
              </w:rPr>
              <w:t>Use relevant admin docs with a quiz and instructions to practice skills</w:t>
            </w:r>
          </w:p>
        </w:tc>
      </w:tr>
      <w:tr w:rsidR="0084512E" w:rsidRPr="0084512E" w:rsidTr="00655318">
        <w:trPr>
          <w:trHeight w:val="701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 xml:space="preserve">Old course materials </w:t>
            </w:r>
            <w:r w:rsidR="006D7BB9">
              <w:t>–</w:t>
            </w:r>
            <w:r w:rsidRPr="0084512E">
              <w:t xml:space="preserve"> L</w:t>
            </w:r>
            <w:r w:rsidR="006D7BB9">
              <w:t xml:space="preserve">earning </w:t>
            </w:r>
            <w:r w:rsidRPr="0084512E">
              <w:t>M</w:t>
            </w:r>
            <w:r w:rsidR="006D7BB9">
              <w:t xml:space="preserve">anagement </w:t>
            </w:r>
            <w:r w:rsidRPr="0084512E">
              <w:t>S</w:t>
            </w:r>
            <w:r w:rsidR="006D7BB9">
              <w:t>ystem (LMS)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A textbook, a reading, course notes, an assessment, a video, a PPT – Find an introductory course, show what they have ahead of them</w:t>
            </w:r>
          </w:p>
        </w:tc>
      </w:tr>
      <w:tr w:rsidR="0084512E" w:rsidRPr="0084512E" w:rsidTr="00655318">
        <w:trPr>
          <w:trHeight w:val="443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>LMS layout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Moodle/Blackboard – layout, week to week, assessments, admin</w:t>
            </w:r>
          </w:p>
        </w:tc>
      </w:tr>
      <w:tr w:rsidR="0084512E" w:rsidRPr="0084512E" w:rsidTr="00655318">
        <w:trPr>
          <w:trHeight w:val="704"/>
        </w:trPr>
        <w:tc>
          <w:tcPr>
            <w:tcW w:w="2263" w:type="dxa"/>
            <w:hideMark/>
          </w:tcPr>
          <w:p w:rsidR="0084512E" w:rsidRPr="0084512E" w:rsidRDefault="0084512E" w:rsidP="0084512E">
            <w:r w:rsidRPr="0084512E">
              <w:t>Software</w:t>
            </w:r>
          </w:p>
        </w:tc>
        <w:tc>
          <w:tcPr>
            <w:tcW w:w="6753" w:type="dxa"/>
            <w:hideMark/>
          </w:tcPr>
          <w:p w:rsidR="0084512E" w:rsidRPr="0084512E" w:rsidRDefault="0084512E" w:rsidP="0084512E">
            <w:r w:rsidRPr="0084512E">
              <w:t>Mahara ePortfolio, Project, Excel, Google Docs, MS office, Adobe Suite,  - Business, IT, Engineering</w:t>
            </w:r>
          </w:p>
        </w:tc>
      </w:tr>
      <w:tr w:rsidR="0084512E" w:rsidTr="00655318">
        <w:tc>
          <w:tcPr>
            <w:tcW w:w="2263" w:type="dxa"/>
          </w:tcPr>
          <w:p w:rsidR="0084512E" w:rsidRPr="006D7BB9" w:rsidRDefault="006D7BB9">
            <w:pPr>
              <w:rPr>
                <w:b/>
              </w:rPr>
            </w:pPr>
            <w:r w:rsidRPr="006D7BB9">
              <w:rPr>
                <w:b/>
              </w:rPr>
              <w:t>ICT</w:t>
            </w:r>
          </w:p>
        </w:tc>
        <w:tc>
          <w:tcPr>
            <w:tcW w:w="6753" w:type="dxa"/>
          </w:tcPr>
          <w:p w:rsidR="0084512E" w:rsidRDefault="0084512E"/>
        </w:tc>
      </w:tr>
      <w:tr w:rsidR="006D7BB9" w:rsidRPr="006D7BB9" w:rsidTr="00655318">
        <w:trPr>
          <w:trHeight w:val="846"/>
        </w:trPr>
        <w:tc>
          <w:tcPr>
            <w:tcW w:w="2263" w:type="dxa"/>
            <w:hideMark/>
          </w:tcPr>
          <w:p w:rsidR="006D7BB9" w:rsidRPr="006D7BB9" w:rsidRDefault="006D7BB9" w:rsidP="006D7BB9">
            <w:r w:rsidRPr="006D7BB9">
              <w:rPr>
                <w:bCs/>
              </w:rPr>
              <w:t>Google It!</w:t>
            </w:r>
          </w:p>
        </w:tc>
        <w:tc>
          <w:tcPr>
            <w:tcW w:w="6753" w:type="dxa"/>
            <w:hideMark/>
          </w:tcPr>
          <w:p w:rsidR="006D7BB9" w:rsidRPr="006D7BB9" w:rsidRDefault="006D7BB9" w:rsidP="006D7BB9">
            <w:r w:rsidRPr="006D7BB9">
              <w:rPr>
                <w:bCs/>
              </w:rPr>
              <w:t>‘Teachers are afraid to let students struggle’ – Tina Muir; Flipped classroom; Real life learning is messy and non-linear (</w:t>
            </w:r>
            <w:proofErr w:type="spellStart"/>
            <w:r w:rsidRPr="006D7BB9">
              <w:rPr>
                <w:bCs/>
              </w:rPr>
              <w:t>connectivism</w:t>
            </w:r>
            <w:proofErr w:type="spellEnd"/>
            <w:r w:rsidRPr="006D7BB9">
              <w:rPr>
                <w:bCs/>
              </w:rPr>
              <w:t>); “I’m not a dictionary”</w:t>
            </w:r>
          </w:p>
        </w:tc>
      </w:tr>
      <w:tr w:rsidR="006D7BB9" w:rsidRPr="006D7BB9" w:rsidTr="00655318">
        <w:trPr>
          <w:trHeight w:val="702"/>
        </w:trPr>
        <w:tc>
          <w:tcPr>
            <w:tcW w:w="2263" w:type="dxa"/>
            <w:hideMark/>
          </w:tcPr>
          <w:p w:rsidR="006D7BB9" w:rsidRPr="006D7BB9" w:rsidRDefault="006D7BB9" w:rsidP="006D7BB9">
            <w:r w:rsidRPr="006D7BB9">
              <w:t>Dot com, dot edu, dot org</w:t>
            </w:r>
          </w:p>
        </w:tc>
        <w:tc>
          <w:tcPr>
            <w:tcW w:w="6753" w:type="dxa"/>
            <w:hideMark/>
          </w:tcPr>
          <w:p w:rsidR="006D7BB9" w:rsidRPr="006D7BB9" w:rsidRDefault="006D7BB9" w:rsidP="006D7BB9">
            <w:r w:rsidRPr="006D7BB9">
              <w:t>Dot com might be selling something and not give the whole picture. Rule of thumb – edu then org, then com</w:t>
            </w:r>
          </w:p>
        </w:tc>
      </w:tr>
      <w:tr w:rsidR="006D7BB9" w:rsidRPr="006D7BB9" w:rsidTr="00655318">
        <w:trPr>
          <w:trHeight w:val="698"/>
        </w:trPr>
        <w:tc>
          <w:tcPr>
            <w:tcW w:w="2263" w:type="dxa"/>
            <w:hideMark/>
          </w:tcPr>
          <w:p w:rsidR="006D7BB9" w:rsidRPr="006D7BB9" w:rsidRDefault="006D7BB9" w:rsidP="006D7BB9">
            <w:r w:rsidRPr="006D7BB9">
              <w:t>Subtitles/ CC/ transcripts</w:t>
            </w:r>
          </w:p>
        </w:tc>
        <w:tc>
          <w:tcPr>
            <w:tcW w:w="6753" w:type="dxa"/>
            <w:hideMark/>
          </w:tcPr>
          <w:p w:rsidR="006D7BB9" w:rsidRPr="006D7BB9" w:rsidRDefault="006D7BB9" w:rsidP="006D7BB9">
            <w:r w:rsidRPr="006D7BB9">
              <w:t xml:space="preserve">English &amp; L1 – Try different combos – listen, watch &amp; listen, watch, listen and read. YouTube, TED, Big Think, RSA, ABC </w:t>
            </w:r>
          </w:p>
        </w:tc>
      </w:tr>
      <w:tr w:rsidR="006D7BB9" w:rsidRPr="006D7BB9" w:rsidTr="00655318">
        <w:trPr>
          <w:trHeight w:val="411"/>
        </w:trPr>
        <w:tc>
          <w:tcPr>
            <w:tcW w:w="2263" w:type="dxa"/>
            <w:hideMark/>
          </w:tcPr>
          <w:p w:rsidR="006D7BB9" w:rsidRPr="006D7BB9" w:rsidRDefault="006D7BB9" w:rsidP="006D7BB9">
            <w:r w:rsidRPr="006D7BB9">
              <w:t>Splitting the screen</w:t>
            </w:r>
          </w:p>
        </w:tc>
        <w:tc>
          <w:tcPr>
            <w:tcW w:w="6753" w:type="dxa"/>
            <w:hideMark/>
          </w:tcPr>
          <w:p w:rsidR="006D7BB9" w:rsidRPr="006D7BB9" w:rsidRDefault="006D7BB9" w:rsidP="006D7BB9">
            <w:r w:rsidRPr="006D7BB9">
              <w:t xml:space="preserve">Flick to the side, Potential for 4 screens </w:t>
            </w:r>
          </w:p>
        </w:tc>
      </w:tr>
      <w:tr w:rsidR="006D7BB9" w:rsidRPr="006D7BB9" w:rsidTr="00655318">
        <w:trPr>
          <w:trHeight w:val="700"/>
        </w:trPr>
        <w:tc>
          <w:tcPr>
            <w:tcW w:w="2263" w:type="dxa"/>
            <w:hideMark/>
          </w:tcPr>
          <w:p w:rsidR="006D7BB9" w:rsidRPr="006D7BB9" w:rsidRDefault="006D7BB9" w:rsidP="006D7BB9">
            <w:r w:rsidRPr="006D7BB9">
              <w:t>Grammarly</w:t>
            </w:r>
          </w:p>
        </w:tc>
        <w:tc>
          <w:tcPr>
            <w:tcW w:w="6753" w:type="dxa"/>
            <w:hideMark/>
          </w:tcPr>
          <w:p w:rsidR="006D7BB9" w:rsidRPr="006D7BB9" w:rsidRDefault="006D7BB9" w:rsidP="006D7BB9">
            <w:r w:rsidRPr="006D7BB9">
              <w:t xml:space="preserve">Saves time, 80% right, human interpretation needed, perks students’ interest </w:t>
            </w:r>
            <w:hyperlink r:id="rId4" w:history="1">
              <w:r w:rsidRPr="006D7BB9">
                <w:rPr>
                  <w:rStyle w:val="Hyperlink"/>
                </w:rPr>
                <w:t>https://app.grammarly.com/</w:t>
              </w:r>
            </w:hyperlink>
          </w:p>
        </w:tc>
      </w:tr>
      <w:tr w:rsidR="00655318" w:rsidRPr="006D7BB9" w:rsidTr="00655318">
        <w:trPr>
          <w:trHeight w:val="700"/>
        </w:trPr>
        <w:tc>
          <w:tcPr>
            <w:tcW w:w="2263" w:type="dxa"/>
          </w:tcPr>
          <w:p w:rsidR="00655318" w:rsidRPr="00655318" w:rsidRDefault="00655318" w:rsidP="00655318">
            <w:r w:rsidRPr="00655318">
              <w:rPr>
                <w:bCs/>
              </w:rPr>
              <w:t>Voice Typing/ Voice Recorder</w:t>
            </w:r>
          </w:p>
        </w:tc>
        <w:tc>
          <w:tcPr>
            <w:tcW w:w="6753" w:type="dxa"/>
          </w:tcPr>
          <w:p w:rsidR="00655318" w:rsidRPr="00655318" w:rsidRDefault="00655318" w:rsidP="00655318">
            <w:r w:rsidRPr="00655318">
              <w:rPr>
                <w:bCs/>
              </w:rPr>
              <w:t>Saves time, practice pronunciation. Teacher – Integrated feedback e.g. written assessment</w:t>
            </w:r>
          </w:p>
        </w:tc>
      </w:tr>
      <w:tr w:rsidR="00655318" w:rsidRPr="00655318" w:rsidTr="00655318">
        <w:trPr>
          <w:trHeight w:val="416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Find functions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PDF, Word, Excel…. Faster evaluation</w:t>
            </w:r>
          </w:p>
        </w:tc>
      </w:tr>
      <w:tr w:rsidR="00655318" w:rsidRPr="00655318" w:rsidTr="00655318">
        <w:trPr>
          <w:trHeight w:val="706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lastRenderedPageBreak/>
              <w:t>Google translate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Context of key words (surrounding paragraph) for faster evaluation. 5 years and counting</w:t>
            </w:r>
          </w:p>
        </w:tc>
      </w:tr>
      <w:tr w:rsidR="00655318" w:rsidRPr="00655318" w:rsidTr="00655318">
        <w:trPr>
          <w:trHeight w:val="971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Bookmarks (G) Favourites (MS)</w:t>
            </w:r>
          </w:p>
          <w:p w:rsidR="00655318" w:rsidRPr="00655318" w:rsidRDefault="00655318" w:rsidP="00655318">
            <w:r w:rsidRPr="00655318">
              <w:t>Quick Access (MS)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Quick reference to commonly used websites &amp; folders</w:t>
            </w:r>
          </w:p>
        </w:tc>
      </w:tr>
      <w:tr w:rsidR="00655318" w:rsidRPr="00655318" w:rsidTr="00655318">
        <w:trPr>
          <w:trHeight w:val="700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Video to MP3 converter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Save on data, practice listening on public transport https://www.onlinevideoconverter.com/mp3-converter</w:t>
            </w:r>
          </w:p>
        </w:tc>
      </w:tr>
      <w:tr w:rsidR="00655318" w:rsidRPr="00655318" w:rsidTr="00655318">
        <w:trPr>
          <w:trHeight w:val="1020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Book summaries/ Audio Books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Textbooks not so much, business books more so. YouTube, Audible, Librivox</w:t>
            </w:r>
          </w:p>
        </w:tc>
      </w:tr>
      <w:tr w:rsidR="00655318" w:rsidRPr="00655318" w:rsidTr="00655318">
        <w:trPr>
          <w:trHeight w:val="668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Wikipedia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Considered non-academic, though some studies disagree (power of crowds), a start – keywords, names, references</w:t>
            </w:r>
          </w:p>
        </w:tc>
      </w:tr>
      <w:tr w:rsidR="00655318" w:rsidRPr="00655318" w:rsidTr="00655318">
        <w:trPr>
          <w:trHeight w:val="668"/>
        </w:trPr>
        <w:tc>
          <w:tcPr>
            <w:tcW w:w="2263" w:type="dxa"/>
          </w:tcPr>
          <w:p w:rsidR="00655318" w:rsidRPr="00655318" w:rsidRDefault="00655318" w:rsidP="00655318">
            <w:pPr>
              <w:rPr>
                <w:b/>
              </w:rPr>
            </w:pPr>
            <w:r w:rsidRPr="00655318">
              <w:rPr>
                <w:b/>
              </w:rPr>
              <w:t>Processes &amp; Strategies</w:t>
            </w:r>
          </w:p>
        </w:tc>
        <w:tc>
          <w:tcPr>
            <w:tcW w:w="6753" w:type="dxa"/>
          </w:tcPr>
          <w:p w:rsidR="00655318" w:rsidRPr="00655318" w:rsidRDefault="00655318" w:rsidP="00655318"/>
        </w:tc>
      </w:tr>
      <w:tr w:rsidR="00655318" w:rsidRPr="00655318" w:rsidTr="00655318">
        <w:trPr>
          <w:trHeight w:val="417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rPr>
                <w:bCs/>
              </w:rPr>
              <w:t>3R’s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rPr>
                <w:bCs/>
              </w:rPr>
              <w:t>Referencing, Report Writing, Research</w:t>
            </w:r>
          </w:p>
        </w:tc>
      </w:tr>
      <w:tr w:rsidR="00655318" w:rsidRPr="00655318" w:rsidTr="00655318">
        <w:trPr>
          <w:trHeight w:val="976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Content &amp; Language Integrated Learning (CLIL)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Learn a skill that will help at university – Report formatting in Word, Excel, Referencing (Word, EndNote), MS Office (Project), Google Apps, LinkedIn/Lynda, University subscriptions e.g. Adobe suite, MOOC</w:t>
            </w:r>
          </w:p>
        </w:tc>
      </w:tr>
      <w:tr w:rsidR="00655318" w:rsidRPr="00655318" w:rsidTr="00655318">
        <w:trPr>
          <w:trHeight w:val="693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Visual Images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Does it lend itself to an image e.g. thermometer for adverbs of frequency, hourglass for essay structure. Multiple Intelligences</w:t>
            </w:r>
          </w:p>
        </w:tc>
      </w:tr>
      <w:tr w:rsidR="00655318" w:rsidRPr="00655318" w:rsidTr="00655318">
        <w:trPr>
          <w:trHeight w:val="419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Puzzles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MENSA – Mathematical. Multiple Intelligences</w:t>
            </w:r>
          </w:p>
        </w:tc>
      </w:tr>
      <w:tr w:rsidR="00655318" w:rsidRPr="00655318" w:rsidTr="00655318">
        <w:trPr>
          <w:trHeight w:val="709"/>
        </w:trPr>
        <w:tc>
          <w:tcPr>
            <w:tcW w:w="2263" w:type="dxa"/>
            <w:hideMark/>
          </w:tcPr>
          <w:p w:rsidR="00655318" w:rsidRPr="00655318" w:rsidRDefault="00655318" w:rsidP="00655318">
            <w:r w:rsidRPr="00655318">
              <w:t>Levels/Options</w:t>
            </w:r>
          </w:p>
        </w:tc>
        <w:tc>
          <w:tcPr>
            <w:tcW w:w="6753" w:type="dxa"/>
            <w:hideMark/>
          </w:tcPr>
          <w:p w:rsidR="00655318" w:rsidRPr="00655318" w:rsidRDefault="00655318" w:rsidP="00655318">
            <w:r w:rsidRPr="00655318">
              <w:t>Blooms Revised Taxonomy. L1 – Remembering, Understanding L2 Analysing, Applying L3 Evaluating, Creating</w:t>
            </w:r>
          </w:p>
        </w:tc>
      </w:tr>
    </w:tbl>
    <w:p w:rsidR="0084512E" w:rsidRDefault="0084512E"/>
    <w:p w:rsidR="00655318" w:rsidRPr="00655318" w:rsidRDefault="00655318" w:rsidP="007B1F64">
      <w:pPr>
        <w:spacing w:after="0" w:line="240" w:lineRule="auto"/>
      </w:pPr>
      <w:r w:rsidRPr="00655318">
        <w:t>Robert Puffett</w:t>
      </w:r>
    </w:p>
    <w:p w:rsidR="00655318" w:rsidRPr="00655318" w:rsidRDefault="00655318" w:rsidP="007B1F64">
      <w:pPr>
        <w:spacing w:after="0" w:line="240" w:lineRule="auto"/>
      </w:pPr>
      <w:r w:rsidRPr="00655318">
        <w:t>reinventenglish@gmail.com</w:t>
      </w:r>
    </w:p>
    <w:p w:rsidR="00655318" w:rsidRPr="00655318" w:rsidRDefault="00655318" w:rsidP="007B1F64">
      <w:pPr>
        <w:spacing w:after="0" w:line="240" w:lineRule="auto"/>
      </w:pPr>
      <w:r w:rsidRPr="00655318">
        <w:rPr>
          <w:u w:val="single"/>
          <w:lang w:val="en-US"/>
        </w:rPr>
        <w:t>www.reinventenglish.com</w:t>
      </w:r>
    </w:p>
    <w:p w:rsidR="00655318" w:rsidRPr="00655318" w:rsidRDefault="00655318" w:rsidP="007B1F64">
      <w:pPr>
        <w:spacing w:after="0" w:line="240" w:lineRule="auto"/>
      </w:pPr>
      <w:r w:rsidRPr="00655318">
        <w:rPr>
          <w:u w:val="single"/>
          <w:lang w:val="en-US"/>
        </w:rPr>
        <w:t>au.linkedin.com/in/</w:t>
      </w:r>
      <w:proofErr w:type="spellStart"/>
      <w:r w:rsidRPr="00655318">
        <w:rPr>
          <w:u w:val="single"/>
          <w:lang w:val="en-US"/>
        </w:rPr>
        <w:t>robertpuffett</w:t>
      </w:r>
      <w:proofErr w:type="spellEnd"/>
    </w:p>
    <w:p w:rsidR="00655318" w:rsidRPr="00655318" w:rsidRDefault="00655318" w:rsidP="007B1F64">
      <w:pPr>
        <w:spacing w:after="0" w:line="240" w:lineRule="auto"/>
      </w:pPr>
      <w:r w:rsidRPr="00655318">
        <w:rPr>
          <w:u w:val="single"/>
          <w:lang w:val="en-US"/>
        </w:rPr>
        <w:t>Twitter: @</w:t>
      </w:r>
      <w:proofErr w:type="spellStart"/>
      <w:r w:rsidRPr="00655318">
        <w:rPr>
          <w:u w:val="single"/>
          <w:lang w:val="en-US"/>
        </w:rPr>
        <w:t>ReinventEnglish</w:t>
      </w:r>
      <w:proofErr w:type="spellEnd"/>
    </w:p>
    <w:p w:rsidR="00655318" w:rsidRDefault="00655318" w:rsidP="007B1F64">
      <w:pPr>
        <w:spacing w:after="0" w:line="240" w:lineRule="auto"/>
        <w:rPr>
          <w:u w:val="single"/>
          <w:lang w:val="en-US"/>
        </w:rPr>
      </w:pPr>
      <w:r w:rsidRPr="00655318">
        <w:rPr>
          <w:u w:val="single"/>
          <w:lang w:val="en-US"/>
        </w:rPr>
        <w:t>Facebook.com/</w:t>
      </w:r>
      <w:proofErr w:type="spellStart"/>
      <w:r w:rsidRPr="00655318">
        <w:rPr>
          <w:u w:val="single"/>
          <w:lang w:val="en-US"/>
        </w:rPr>
        <w:t>reinventenglish</w:t>
      </w:r>
      <w:proofErr w:type="spellEnd"/>
    </w:p>
    <w:p w:rsidR="007B1F64" w:rsidRPr="00655318" w:rsidRDefault="007B1F64" w:rsidP="00655318"/>
    <w:p w:rsidR="00655318" w:rsidRDefault="007B1F64">
      <w:r>
        <w:rPr>
          <w:noProof/>
          <w:lang w:eastAsia="zh-CN"/>
        </w:rPr>
        <w:drawing>
          <wp:inline distT="0" distB="0" distL="0" distR="0">
            <wp:extent cx="5731510" cy="10985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2E"/>
    <w:rsid w:val="00655318"/>
    <w:rsid w:val="006D7BB9"/>
    <w:rsid w:val="007B1F64"/>
    <w:rsid w:val="0084512E"/>
    <w:rsid w:val="00B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A5FB"/>
  <w15:chartTrackingRefBased/>
  <w15:docId w15:val="{EC96758F-E8B3-4BC5-B766-7CEC18D0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D7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app.grammar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Puffett</dc:creator>
  <cp:keywords/>
  <dc:description/>
  <cp:lastModifiedBy>Robert Puffett</cp:lastModifiedBy>
  <cp:revision>1</cp:revision>
  <dcterms:created xsi:type="dcterms:W3CDTF">2018-05-11T08:44:00Z</dcterms:created>
  <dcterms:modified xsi:type="dcterms:W3CDTF">2018-05-11T09:20:00Z</dcterms:modified>
</cp:coreProperties>
</file>